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300"/>
        <w:jc w:val="center"/>
      </w:pPr>
      <w:r>
        <w:rPr>
          <w:b/>
          <w:bCs/>
          <w:color w:val="003D7A"/>
          <w:sz w:val="32"/>
          <w:szCs w:val="32"/>
        </w:rPr>
        <w:t xml:space="preserve">КОНСПЕКТ УРОКА</w:t>
      </w:r>
    </w:p>
    <w:p>
      <w:pPr>
        <w:spacing w:after="300"/>
        <w:jc w:val="center"/>
      </w:pPr>
      <w:r>
        <w:rPr>
          <w:b/>
          <w:bCs/>
          <w:sz w:val="28"/>
          <w:szCs w:val="28"/>
        </w:rPr>
        <w:t xml:space="preserve">«Правила безопасного использования бытовой техники и меры противопожарной защиты в быту»</w:t>
      </w:r>
    </w:p>
    <w:tbl>
      <w:tblPr>
        <w:tblW w:w="9508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600"/>
        <w:gridCol w:w="6908"/>
      </w:tblGrid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Учебный предмет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ОБЗР (Основы безопасности и защиты Родины)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Учебный курс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Безопасность жизнедеятельности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Класс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8 класс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Тема урока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Правила безопасного использования бытовой техники и меры противопожарной защиты в быту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Тип урока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Комбинированный урок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Длительность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40 минут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Учитель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Дёмин Александр Юрьевич, преподаватель-организатор ОБЗР</w:t>
            </w:r>
          </w:p>
        </w:tc>
      </w:tr>
    </w:tbl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Планируемые результаты</w:t>
      </w:r>
    </w:p>
    <w:p>
      <w:pPr>
        <w:spacing w:after="120"/>
      </w:pPr>
      <w:r>
        <w:rPr>
          <w:b/>
          <w:bCs/>
          <w:color w:val="003D7A"/>
        </w:rPr>
        <w:t xml:space="preserve">Предметные: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знать основные причины бытовых пожаров и правила безопасной эксплуатации электрических и газовых приборов;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уметь действовать при пожаре и при запахе газа, вызывать экстренные службы (101, 104, 112), знать правила применения первичных средств пожаротушения.</w:t>
      </w:r>
    </w:p>
    <w:p>
      <w:pPr>
        <w:spacing w:after="120"/>
      </w:pPr>
      <w:r>
        <w:rPr>
          <w:b/>
          <w:bCs/>
          <w:color w:val="003D7A"/>
        </w:rPr>
        <w:t xml:space="preserve">Метапредметные: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развивать умение находить опасности в бытовой обстановке и оценивать риски;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развивать навыки работы в группе и чёткого изложения информации по телефону экстренным службам.</w:t>
      </w:r>
    </w:p>
    <w:p>
      <w:pPr>
        <w:spacing w:after="120"/>
      </w:pPr>
      <w:r>
        <w:rPr>
          <w:b/>
          <w:bCs/>
          <w:color w:val="003D7A"/>
        </w:rPr>
        <w:t xml:space="preserve">Личностные: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формировать ответственное отношение к безопасности дома — своей, семьи и соседей;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формировать привычку соблюдать правила и самообладание в опасной ситуации.</w:t>
      </w:r>
    </w:p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Оборудование и материалы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компьютер, проектор, экран;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презентация «Безопасность в быту: бытовая техника и пожарная безопасность» (см. раздел «Презентации и тесты»);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иллюстрация «Найди опасности» (кухня и комната) на слайде или в распечатке для групп;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учебный огнетушитель (при наличии, без применения), плотная ткань (плед), крышка от сковороды для демонстрации;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карточки-алгоритмы «Действия при пожаре» и «Действия при запахе газа».</w:t>
      </w:r>
    </w:p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Ход урока</w:t>
      </w:r>
    </w:p>
    <w:tbl>
      <w:tblPr>
        <w:tblW w:w="9508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96"/>
        <w:gridCol w:w="2241"/>
        <w:gridCol w:w="1096"/>
        <w:gridCol w:w="5475"/>
      </w:tblGrid>
      <w:tr>
        <w:trPr>
          <w:cantSplit/>
          <w:tblHeader/>
        </w:trPr>
        <w:tc>
          <w:tcPr>
            <w:tcW w:w="696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№</w:t>
            </w:r>
          </w:p>
        </w:tc>
        <w:tc>
          <w:tcPr>
            <w:tcW w:w="2241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Этап урока</w:t>
            </w:r>
          </w:p>
        </w:tc>
        <w:tc>
          <w:tcPr>
            <w:tcW w:w="1096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Время</w:t>
            </w:r>
          </w:p>
        </w:tc>
        <w:tc>
          <w:tcPr>
            <w:tcW w:w="5475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Деятельность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1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Организационный момент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Приветствие, проверка готовности к уроку. Учитель сообщает тему и цели урока.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Актуализация знаний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4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Фронтальная беседа. Вопросы: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Какие бытовые приборы есть у вас дома?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Какие из них могут быть опасны и почему?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Какие номера экстренных служб вы знаете?</w:t>
            </w:r>
          </w:p>
        </w:tc>
      </w:tr>
      <w:t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3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Изучение нового материала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14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Объяснение с презентацией. Основные вопросы: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причины бытовых пожаров: неосторожное обращение с огнём, неисправная проводка и приборы, перегрузка розеток, оставленные без присмотра нагревательные приборы, детская шалость;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электроприборы: не включать неисправные, не перегружать розетки и удлинители, не накрывать обогреватели, не оставлять включённые приборы без присмотра, вынимать вилку, держась за корпус, не трогать приборы мокрыми руками, перед уходом отключать;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газовые приборы: не оставлять плиту без присмотра, не использовать её для обогрева, проветривать помещение; при запахе газа не включать свет и электроприборы, не пользоваться огнём, перекрыть кран, открыть окна, выйти из помещения и вызвать аварийную газовую службу (104 или 112);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действия при пожаре: вызвать 101 (с мобильного 112), назвать адрес, что горит и своё имя; покинуть помещение, закрыть за собой дверь, не пользоваться лифтом, при задымлении пригнуться и дышать через мокрую ткань; не прятаться;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первичные средства тушения: огнетушитель (выдернуть чеку, направить на очаг, нажать рычаг), плотная ткань, крышка; горящее масло водой не тушить; электроприбор — сначала обесточить; углекислотный огнетушитель на людей не направлять;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дымовой пожарный извещатель и план эвакуации квартиры.</w:t>
            </w:r>
          </w:p>
        </w:tc>
      </w:tr>
      <w:t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4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Практическая отработка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12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Работа по заданиям (без открытого огня):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rPr>
                <w:b/>
                <w:bCs/>
              </w:rPr>
              <w:t xml:space="preserve">«Найди опасности»</w:t>
            </w:r>
            <w:r>
              <w:t xml:space="preserve"> (5 мин): группы находят на иллюстрации нарушения правил и предлагают, как их устранить;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rPr>
                <w:b/>
                <w:bCs/>
              </w:rPr>
              <w:t xml:space="preserve">Вызов экстренных служб</w:t>
            </w:r>
            <w:r>
              <w:t xml:space="preserve"> (4 мин): в парах отрабатывается разговор с диспетчером службы 101 (адрес, что горит, есть ли люди, имя, телефон), затем со службой 104 по запаху газа;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rPr>
                <w:b/>
                <w:bCs/>
              </w:rPr>
              <w:t xml:space="preserve">Первичные средства тушения</w:t>
            </w:r>
            <w:r>
              <w:t xml:space="preserve"> (3 мин): учитель показывает порядок действий с огнетушителем (на учебном муляже) и накрывание очага тканью; 2-3 ученика повторяют действия.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Первичное закрепление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4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Блиц-опрос или карточки «верно / неверно»: что делать при запахе газа, при загорании электроприбора, при загорании масла на сковороде; номера служб.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6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Рефлексия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Приём «Незаконченное предложение»: «Дома я проверю ...», «Самое важное правило для меня — ...».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7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Домашнее задание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Вместе с родителями проверить безопасность бытовых приборов и розеток дома и составить схему эвакуации из квартиры (дома) с двумя путями выхода.</w:t>
            </w:r>
          </w:p>
        </w:tc>
      </w:tr>
    </w:tbl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Источники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Федеральный закон от 21.12.1994 № 69-ФЗ «О пожарной безопасности».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Постановление Правительства Российской Федерации от 16.09.2020 № 1479 «Об утверждении Правил противопожарного режима в Российской Федерации».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Памятки МЧС России по пожарной безопасности в быту (mchs.gov.ru).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Федеральная рабочая программа учебного предмета «Основы безопасности и защиты Родины» для 8-9 классов, 2026-2027 учебный год.</w:t>
      </w:r>
    </w:p>
    <w:p>
      <w:pPr>
        <w:spacing w:before="400"/>
      </w:pPr>
      <w:r>
        <w:rPr>
          <w:i/>
          <w:iCs/>
          <w:color w:val="7F8C8D"/>
          <w:sz w:val="18"/>
          <w:szCs w:val="18"/>
        </w:rPr>
        <w:t xml:space="preserve">Материал подготовлен с использованием Claude AI и адаптирован преподавателем в соответствии с требованиями ФГОС.</w:t>
      </w:r>
    </w:p>
    <w:sectPr>
      <w:headerReference w:type="default" r:id="rId7"/>
      <w:footerReference w:type="default" r:id="rId8"/>
      <w:pgSz w:w="11907" w:h="16840"/>
      <w:pgMar w:top="1000" w:right="1000" w:bottom="1000" w:left="1400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1322" w:rsidRDefault="00AD1322" w:rsidP="00870BB0">
      <w:r>
        <w:separator/>
      </w:r>
    </w:p>
  </w:endnote>
  <w:endnote w:type="continuationSeparator" w:id="0">
    <w:p w:rsidR="00AD1322" w:rsidRDefault="00AD1322" w:rsidP="00870B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BB0" w:rsidRDefault="00FF739D">
    <w:pPr>
      <w:jc w:val="center"/>
    </w:pPr>
    <w:r>
      <w:rPr>
        <w:color w:val="7F8C8D"/>
        <w:sz w:val="16"/>
        <w:szCs w:val="16"/>
      </w:rPr>
      <w:t xml:space="preserve">Дёмин А.Ю., МБОУ СШ № 2 г. </w:t>
    </w:r>
    <w:proofErr w:type="spellStart"/>
    <w:r>
      <w:rPr>
        <w:color w:val="7F8C8D"/>
        <w:sz w:val="16"/>
        <w:szCs w:val="16"/>
      </w:rPr>
      <w:t>Лысково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1322" w:rsidRDefault="00AD1322" w:rsidP="00870BB0">
      <w:r>
        <w:separator/>
      </w:r>
    </w:p>
  </w:footnote>
  <w:footnote w:type="continuationSeparator" w:id="0">
    <w:p w:rsidR="00AD1322" w:rsidRDefault="00AD1322" w:rsidP="00870B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BB0" w:rsidRDefault="00FF739D">
    <w:pPr>
      <w:jc w:val="right"/>
    </w:pPr>
    <w:r>
      <w:rPr>
        <w:i/>
        <w:iCs/>
        <w:color w:val="7F8C8D"/>
        <w:sz w:val="16"/>
        <w:szCs w:val="16"/>
      </w:rPr>
      <w:t>ОБЗР | Методическая копилка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D7675A"/>
    <w:multiLevelType w:val="hybridMultilevel"/>
    <w:tmpl w:val="8F2623E0"/>
    <w:lvl w:ilvl="0" w:tplc="BC8603C6">
      <w:start w:val="1"/>
      <w:numFmt w:val="bullet"/>
      <w:lvlText w:val="●"/>
      <w:lvlJc w:val="left"/>
      <w:pPr>
        <w:ind w:left="720" w:hanging="360"/>
      </w:pPr>
    </w:lvl>
    <w:lvl w:ilvl="1" w:tplc="40789002">
      <w:start w:val="1"/>
      <w:numFmt w:val="bullet"/>
      <w:lvlText w:val="○"/>
      <w:lvlJc w:val="left"/>
      <w:pPr>
        <w:ind w:left="1440" w:hanging="360"/>
      </w:pPr>
    </w:lvl>
    <w:lvl w:ilvl="2" w:tplc="1090E374">
      <w:start w:val="1"/>
      <w:numFmt w:val="bullet"/>
      <w:lvlText w:val="■"/>
      <w:lvlJc w:val="left"/>
      <w:pPr>
        <w:ind w:left="2160" w:hanging="360"/>
      </w:pPr>
    </w:lvl>
    <w:lvl w:ilvl="3" w:tplc="54A6EE80">
      <w:start w:val="1"/>
      <w:numFmt w:val="bullet"/>
      <w:lvlText w:val="●"/>
      <w:lvlJc w:val="left"/>
      <w:pPr>
        <w:ind w:left="2880" w:hanging="360"/>
      </w:pPr>
    </w:lvl>
    <w:lvl w:ilvl="4" w:tplc="4C105A32">
      <w:start w:val="1"/>
      <w:numFmt w:val="bullet"/>
      <w:lvlText w:val="○"/>
      <w:lvlJc w:val="left"/>
      <w:pPr>
        <w:ind w:left="3600" w:hanging="360"/>
      </w:pPr>
    </w:lvl>
    <w:lvl w:ilvl="5" w:tplc="A67EB2A0">
      <w:start w:val="1"/>
      <w:numFmt w:val="bullet"/>
      <w:lvlText w:val="■"/>
      <w:lvlJc w:val="left"/>
      <w:pPr>
        <w:ind w:left="4320" w:hanging="360"/>
      </w:pPr>
    </w:lvl>
    <w:lvl w:ilvl="6" w:tplc="55424170">
      <w:start w:val="1"/>
      <w:numFmt w:val="bullet"/>
      <w:lvlText w:val="●"/>
      <w:lvlJc w:val="left"/>
      <w:pPr>
        <w:ind w:left="5040" w:hanging="360"/>
      </w:pPr>
    </w:lvl>
    <w:lvl w:ilvl="7" w:tplc="E3306068">
      <w:start w:val="1"/>
      <w:numFmt w:val="bullet"/>
      <w:lvlText w:val="●"/>
      <w:lvlJc w:val="left"/>
      <w:pPr>
        <w:ind w:left="5760" w:hanging="360"/>
      </w:pPr>
    </w:lvl>
    <w:lvl w:ilvl="8" w:tplc="CE08A87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70BB0"/>
    <w:rsid w:val="005813F5"/>
    <w:rsid w:val="00870BB0"/>
    <w:rsid w:val="008C3BB4"/>
    <w:rsid w:val="00AD1322"/>
    <w:rsid w:val="00DD3BF5"/>
    <w:rsid w:val="00FF73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sid w:val="00870BB0"/>
    <w:rPr>
      <w:sz w:val="56"/>
      <w:szCs w:val="56"/>
    </w:rPr>
  </w:style>
  <w:style w:type="paragraph" w:customStyle="1" w:styleId="Heading1">
    <w:name w:val="Heading 1"/>
    <w:qFormat/>
    <w:rsid w:val="00870BB0"/>
    <w:rPr>
      <w:color w:val="2E74B5"/>
      <w:sz w:val="32"/>
      <w:szCs w:val="32"/>
    </w:rPr>
  </w:style>
  <w:style w:type="paragraph" w:customStyle="1" w:styleId="Heading2">
    <w:name w:val="Heading 2"/>
    <w:qFormat/>
    <w:rsid w:val="00870BB0"/>
    <w:rPr>
      <w:color w:val="2E74B5"/>
      <w:sz w:val="26"/>
      <w:szCs w:val="26"/>
    </w:rPr>
  </w:style>
  <w:style w:type="paragraph" w:customStyle="1" w:styleId="Heading3">
    <w:name w:val="Heading 3"/>
    <w:qFormat/>
    <w:rsid w:val="00870BB0"/>
    <w:rPr>
      <w:color w:val="1F4D78"/>
    </w:rPr>
  </w:style>
  <w:style w:type="paragraph" w:customStyle="1" w:styleId="Heading4">
    <w:name w:val="Heading 4"/>
    <w:qFormat/>
    <w:rsid w:val="00870BB0"/>
    <w:rPr>
      <w:i/>
      <w:iCs/>
      <w:color w:val="2E74B5"/>
    </w:rPr>
  </w:style>
  <w:style w:type="paragraph" w:customStyle="1" w:styleId="Heading5">
    <w:name w:val="Heading 5"/>
    <w:qFormat/>
    <w:rsid w:val="00870BB0"/>
    <w:rPr>
      <w:color w:val="2E74B5"/>
    </w:rPr>
  </w:style>
  <w:style w:type="paragraph" w:customStyle="1" w:styleId="Heading6">
    <w:name w:val="Heading 6"/>
    <w:qFormat/>
    <w:rsid w:val="00870BB0"/>
    <w:rPr>
      <w:color w:val="1F4D78"/>
    </w:rPr>
  </w:style>
  <w:style w:type="paragraph" w:customStyle="1" w:styleId="1">
    <w:name w:val="Строгий1"/>
    <w:qFormat/>
    <w:rsid w:val="00870BB0"/>
    <w:rPr>
      <w:b/>
      <w:bCs/>
    </w:rPr>
  </w:style>
  <w:style w:type="paragraph" w:styleId="a4">
    <w:name w:val="List Paragraph"/>
    <w:qFormat/>
    <w:rsid w:val="00870BB0"/>
  </w:style>
  <w:style w:type="character" w:styleId="a5">
    <w:name w:val="Hyperlink"/>
    <w:uiPriority w:val="99"/>
    <w:unhideWhenUsed/>
    <w:rsid w:val="00870BB0"/>
    <w:rPr>
      <w:color w:val="0563C1"/>
      <w:u w:val="single"/>
    </w:rPr>
  </w:style>
  <w:style w:type="character" w:styleId="a6">
    <w:name w:val="footnote reference"/>
    <w:uiPriority w:val="99"/>
    <w:semiHidden/>
    <w:unhideWhenUsed/>
    <w:rsid w:val="00870BB0"/>
    <w:rPr>
      <w:vertAlign w:val="superscript"/>
    </w:rPr>
  </w:style>
  <w:style w:type="paragraph" w:styleId="a7">
    <w:name w:val="footnote text"/>
    <w:link w:val="a8"/>
    <w:uiPriority w:val="99"/>
    <w:semiHidden/>
    <w:unhideWhenUsed/>
    <w:rsid w:val="00870BB0"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sid w:val="00870BB0"/>
    <w:rPr>
      <w:sz w:val="20"/>
      <w:szCs w:val="20"/>
    </w:rPr>
  </w:style>
  <w:style w:type="character" w:styleId="a9">
    <w:name w:val="endnote reference"/>
    <w:uiPriority w:val="99"/>
    <w:semiHidden/>
    <w:unhideWhenUsed/>
    <w:rsid w:val="00870BB0"/>
    <w:rPr>
      <w:vertAlign w:val="superscript"/>
    </w:rPr>
  </w:style>
  <w:style w:type="paragraph" w:styleId="aa">
    <w:name w:val="endnote text"/>
    <w:link w:val="ab"/>
    <w:uiPriority w:val="99"/>
    <w:semiHidden/>
    <w:unhideWhenUsed/>
    <w:rsid w:val="00870BB0"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sid w:val="00870BB0"/>
    <w:rPr>
      <w:sz w:val="20"/>
      <w:szCs w:val="20"/>
    </w:rPr>
  </w:style>
  <w:style w:type="paragraph" w:styleId="ac">
    <w:name w:val="header"/>
    <w:basedOn w:val="a"/>
    <w:link w:val="ad"/>
    <w:uiPriority w:val="99"/>
    <w:semiHidden/>
    <w:unhideWhenUsed/>
    <w:rsid w:val="00DD3BF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DD3BF5"/>
  </w:style>
  <w:style w:type="paragraph" w:styleId="ae">
    <w:name w:val="footer"/>
    <w:basedOn w:val="a"/>
    <w:link w:val="af"/>
    <w:uiPriority w:val="99"/>
    <w:semiHidden/>
    <w:unhideWhenUsed/>
    <w:rsid w:val="00DD3BF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D3BF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394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Дёмин А.Ю.</dc:creator>
  <cp:lastModifiedBy>Дёмин А.Ю.</cp:lastModifiedBy>
  <cp:revision>3</cp:revision>
  <dcterms:created xsi:type="dcterms:W3CDTF">2026-10-05T18:00:00Z</dcterms:created>
  <dcterms:modified xsi:type="dcterms:W3CDTF">2026-10-05T18:00:00Z</dcterms:modified>
</cp:coreProperties>
</file>