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</w:pPr>
      <w:r>
        <w:rPr>
          <w:rFonts w:ascii="Arial" w:cs="Arial" w:eastAsia="Arial" w:hAnsi="Arial"/>
          <w:b/>
          <w:bCs/>
          <w:color w:val="E53935"/>
          <w:spacing w:val="40"/>
          <w:sz w:val="17"/>
          <w:szCs w:val="17"/>
        </w:rPr>
        <w:t xml:space="preserve">МЕТОДИЧЕСКИЕ РЕКОМЕНДАЦИИ ДЛЯ КОЛЛЕГ</w:t>
      </w:r>
    </w:p>
    <w:p>
      <w:pPr>
        <w:spacing w:after="100" w:line="288"/>
      </w:pPr>
      <w:r>
        <w:rPr>
          <w:rFonts w:ascii="Arial" w:cs="Arial" w:eastAsia="Arial" w:hAnsi="Arial"/>
          <w:b/>
          <w:bCs/>
          <w:color w:val="003D7A"/>
          <w:sz w:val="40"/>
          <w:szCs w:val="40"/>
        </w:rPr>
        <w:t xml:space="preserve">Портфолио учителя ОБЗР</w:t>
      </w:r>
    </w:p>
    <w:p>
      <w:pPr>
        <w:spacing w:after="140"/>
      </w:pPr>
      <w:r>
        <w:rPr>
          <w:rFonts w:ascii="Times New Roman" w:cs="Times New Roman" w:eastAsia="Times New Roman" w:hAnsi="Times New Roman"/>
          <w:i/>
          <w:iCs/>
          <w:color w:val="5F6B76"/>
          <w:sz w:val="25"/>
          <w:szCs w:val="25"/>
        </w:rPr>
        <w:t xml:space="preserve">Чек-лист для аттестации на первую и высшую квалификационные категории</w:t>
      </w:r>
    </w:p>
    <w:p>
      <w:pPr>
        <w:pBdr>
          <w:bottom w:val="single" w:color="E53935" w:sz="12" w:space="8"/>
        </w:pBdr>
        <w:spacing w:after="240"/>
      </w:pPr>
      <w:r>
        <w:rPr>
          <w:rFonts w:ascii="Arial" w:cs="Arial" w:eastAsia="Arial" w:hAnsi="Arial"/>
          <w:color w:val="5F6B76"/>
          <w:sz w:val="17"/>
          <w:szCs w:val="17"/>
        </w:rPr>
        <w:t xml:space="preserve">Автор: Дёмин А. Ю., преподаватель-организатор ОБЗР, МБОУ СШ № 2 г. Лысково  ·  Редакция: октябрь 2026</w:t>
      </w:r>
    </w:p>
    <w:p>
      <w:pPr>
        <w:spacing w:after="120" w:before="0" w:line="276"/>
        <w:jc w:val="left"/>
      </w:pPr>
      <w:r>
        <w:t xml:space="preserve">Основание: Порядок проведения аттестации педагогических работников (приказ Минпросвещения России от 24.03.2023 № 196). Формы заявления и перечень подтверждающих документов уточняйте у органа, организующего аттестацию в вашем регионе: в Нижегородской области это ГБОУ ДПО «Нижегородский институт развития образования» (НИРО).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03D7A" w:sz="24"/>
              <w:bottom w:val="none" w:color="FFFFFF" w:sz="0"/>
              <w:right w:val="none" w:color="FFFFFF" w:sz="0"/>
            </w:tcBorders>
            <w:shd w:fill="E8F0FA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003D7A"/>
                <w:sz w:val="21"/>
                <w:szCs w:val="21"/>
              </w:rPr>
              <w:t xml:space="preserve">Как пользоваться чек-листом</w:t>
            </w:r>
          </w:p>
          <w:p>
            <w:pPr>
              <w:spacing w:after="50" w:line="264"/>
            </w:pPr>
            <w:r>
              <w:rPr>
                <w:sz w:val="22"/>
                <w:szCs w:val="22"/>
              </w:rPr>
              <w:t xml:space="preserve">Отмечайте ☐ по мере готовности. В правом столбце указано, какой документ подтверждает пункт и в каком разделе сайта его удобно разместить.</w:t>
            </w:r>
          </w:p>
          <w:p>
            <w:pPr>
              <w:spacing w:after="50" w:line="264"/>
            </w:pPr>
            <w:r>
              <w:rPr>
                <w:sz w:val="22"/>
                <w:szCs w:val="22"/>
              </w:rPr>
              <w:t xml:space="preserve">К каждому показателю прикладывайте документ-источник: справку администрации, выписку из журнала, копию диплома или грамоты.</w:t>
            </w:r>
          </w:p>
        </w:tc>
      </w:tr>
    </w:tbl>
    <w:p>
      <w:pPr>
        <w:pStyle w:val="Heading1"/>
        <w:keepNext/>
      </w:pPr>
      <w:r>
        <w:t xml:space="preserve">1. Документы для подачи</w:t>
      </w:r>
    </w:p>
    <w:p>
      <w:pPr>
        <w:keepNext/>
        <w:spacing w:after="80" w:before="0" w:line="276"/>
        <w:jc w:val="left"/>
      </w:pPr>
      <w:r>
        <w:rPr>
          <w:color w:val="5F6B76"/>
          <w:sz w:val="19"/>
          <w:szCs w:val="19"/>
        </w:rPr>
        <w:t xml:space="preserve">Состав пакета зависит от региона: сверяйте со списком, который опубликовал аттестующий орган.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100"/>
        <w:gridCol w:w="3838"/>
      </w:tblGrid>
      <w:tr>
        <w:trPr>
          <w:cantSplit/>
          <w:tblHeader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подготовить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Подтверждение и где разместить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Заявление на аттестацию с указанием уровня образования, профессиональных результатов, имеющейся категории и должности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Форму и способ подачи уточните у аттестующего органа (по Порядку допускается подача по почте и в электронном виде, в том числе через «Госуслуги»)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Сведения об образовании и квалификации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Копии дипломов; на сайте — раздел «Образование»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Переподготовка и курсы повышения квалификации за последние 3–5 лет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Удостоверения и сертификаты; раздел «Переподготовка и повышение квалификации»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Государственные, ведомственные и региональные награды, почётные звания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Копии наградных документов; раздел «Награды и достижения». Наличие наград может давать право на упрощённую процедуру: уточните в региональном порядке</w:t>
            </w:r>
          </w:p>
        </w:tc>
      </w:tr>
    </w:tbl>
    <w:p>
      <w:pPr>
        <w:pStyle w:val="Heading1"/>
        <w:keepNext/>
      </w:pPr>
      <w:r>
        <w:t xml:space="preserve">2. Результаты освоения ОБЗР обучающимися</w:t>
      </w:r>
    </w:p>
    <w:p>
      <w:pPr>
        <w:keepNext/>
        <w:spacing w:after="80" w:before="0" w:line="276"/>
        <w:jc w:val="left"/>
      </w:pPr>
      <w:r>
        <w:rPr>
          <w:color w:val="5F6B76"/>
          <w:sz w:val="19"/>
          <w:szCs w:val="19"/>
        </w:rPr>
        <w:t xml:space="preserve">Данные подавайте обезличенно: таблицы и графики, а не списки учеников.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100"/>
        <w:gridCol w:w="3838"/>
      </w:tblGrid>
      <w:tr>
        <w:trPr>
          <w:cantSplit/>
          <w:tblHeader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подготовить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Подтверждение и где разместить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Динамика успеваемости и качества знаний по классам за три учебных года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Справка администрации или выписка из электронного журнала; раздел «Результаты освоения ОБЗР обучающимися»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Результаты контрольных, итоговых работ и промежуточной аттестации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Таблица по темам и курсам (НВП и БЖ), краткий анализ типичных ошибок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Результаты мониторингов, проводимых образовательной организацией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Справка школы с показателями по классам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Сравнение показателей с муниципальными или региональными (если есть данные)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Диаграмма с подписями источников</w:t>
            </w:r>
          </w:p>
        </w:tc>
      </w:tr>
    </w:tbl>
    <w:p>
      <w:pPr>
        <w:pStyle w:val="Heading1"/>
        <w:keepNext/>
      </w:pPr>
      <w:r>
        <w:t xml:space="preserve">3. Достижения обучающихся</w:t>
      </w:r>
    </w:p>
    <w:p>
      <w:pPr>
        <w:keepNext/>
        <w:spacing w:after="80" w:before="0" w:line="276"/>
        <w:jc w:val="left"/>
      </w:pPr>
      <w:r>
        <w:rPr>
          <w:color w:val="5F6B76"/>
          <w:sz w:val="19"/>
          <w:szCs w:val="19"/>
        </w:rPr>
        <w:t xml:space="preserve">Публикация фамилий и сканов грамот — только при письменном согласии родителей.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100"/>
        <w:gridCol w:w="3838"/>
      </w:tblGrid>
      <w:tr>
        <w:trPr>
          <w:cantSplit/>
          <w:tblHeader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подготовить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Подтверждение и где разместить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Олимпиады по ОБЗР: школьный, муниципальный и региональный этапы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Протоколы, приказы, копии дипломов; раздел «Достижения учащихся»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Конкурсы и соревнования: «Зарница 2.0», Юнармия, ЮИД и другие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Грамоты, дипломы, фото с мероприятий (с согласием)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Итоги учебных сборов и практических испытаний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Отчёт о сборах, ведомость оценок или зачётов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Проектные и исследовательские работы учеников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Темы работ, результаты защиты; авторов указывайте обезличенно</w:t>
            </w:r>
          </w:p>
        </w:tc>
      </w:tr>
    </w:tbl>
    <w:p>
      <w:pPr>
        <w:pStyle w:val="Heading1"/>
        <w:keepNext/>
      </w:pPr>
      <w:r>
        <w:t xml:space="preserve">4. Методическая активность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100"/>
        <w:gridCol w:w="3838"/>
      </w:tblGrid>
      <w:tr>
        <w:trPr>
          <w:cantSplit/>
          <w:tblHeader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подготовить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Подтверждение и где разместить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Публикации: статьи, методические разработки, сборники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Ссылки и выходные данные; свидетельства о публикации; раздел «Методическая активность»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Выступления на семинарах, конференциях, методических объединениях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Программа мероприятия, сертификат, текст или презентация выступления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Открытые уроки и мастер-классы для коллег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Справка, отзывы коллег, фото или видео (с согласием)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Участие в профессиональных конкурсах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Дипломы и сертификаты участника, положение конкурса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Авторские программы, УМК, методические пособия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Рецензия или экспертное заключение, ссылка на размещение; описание места в учебном процессе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Наставничество и экспертная деятельность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Приказ или справка администрации</w:t>
            </w:r>
          </w:p>
        </w:tc>
      </w:tr>
    </w:tbl>
    <w:p>
      <w:pPr>
        <w:pStyle w:val="Heading1"/>
        <w:keepNext/>
      </w:pPr>
      <w:r>
        <w:t xml:space="preserve">5. Персональный сайт и цифровая среда</w:t>
      </w:r>
    </w:p>
    <w:p>
      <w:pPr>
        <w:keepNext/>
        <w:spacing w:after="80" w:before="0" w:line="276"/>
        <w:jc w:val="left"/>
      </w:pPr>
      <w:r>
        <w:rPr>
          <w:color w:val="5F6B76"/>
          <w:sz w:val="19"/>
          <w:szCs w:val="19"/>
        </w:rPr>
        <w:t xml:space="preserve">Подходит, если сайт используется как часть портфолио.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100"/>
        <w:gridCol w:w="3838"/>
      </w:tblGrid>
      <w:tr>
        <w:trPr>
          <w:cantSplit/>
          <w:tblHeader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подготовить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Подтверждение и где разместить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Обязательные разделы: «О себе», «Портфолио», методические материалы, контакты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Адрес сайта в заявлении или в портфолио; QR-код для презентации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Политика конфиденциальности, согласия родителей на публикацию данных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Страница политики; согласия хранятся в школе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Актуальность: даты у новостей, архив прошлых лет, рабочие ссылки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Проверка всех кнопок и ссылок перед подачей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Адаптивность и читаемость на телефоне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Проверка в режиме эмуляции устройств и на реальном смартфоне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Пометка об использовании ИИ-инструментов, проверка материалов автором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Текст в подвале сайта</w:t>
            </w:r>
          </w:p>
        </w:tc>
      </w:tr>
    </w:tbl>
    <w:p>
      <w:pPr>
        <w:pStyle w:val="Heading1"/>
        <w:keepNext/>
      </w:pPr>
      <w:r>
        <w:t xml:space="preserve">6. Подготовка к защите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100"/>
        <w:gridCol w:w="3838"/>
      </w:tblGrid>
      <w:tr>
        <w:trPr>
          <w:cantSplit/>
          <w:tblHeader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Что подготовить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03D7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40" w:line="25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Подтверждение и где разместить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Краткая презентация результатов работы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Один слайд — один показатель; на последнем слайде адрес сайта и QR-код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Ответы на типичные вопросы комиссии: результаты, личный вклад, сильные стороны методики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Заранее подготовленные примеры с цифрами и подтверждениями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Segoe UI Symbol" w:cs="Segoe UI Symbol" w:eastAsia="Segoe UI Symbol" w:hAnsi="Segoe UI Symbol"/>
                <w:color w:val="003D7A"/>
                <w:sz w:val="26"/>
                <w:szCs w:val="26"/>
              </w:rPr>
              <w:t xml:space="preserve">☐</w:t>
            </w:r>
          </w:p>
        </w:tc>
        <w:tc>
          <w:tcPr>
            <w:tcW w:type="dxa" w:w="51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Копии и электронные файлы документов</w:t>
            </w:r>
          </w:p>
        </w:tc>
        <w:tc>
          <w:tcPr>
            <w:tcW w:type="dxa" w:w="3838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40" w:line="252"/>
              <w:jc w:val="left"/>
            </w:pPr>
            <w:r>
              <w:rPr>
                <w:sz w:val="21"/>
                <w:szCs w:val="21"/>
              </w:rPr>
              <w:t xml:space="preserve">Папка с названиями по разделам; копия на флеш-накопителе и в облаке</w:t>
            </w:r>
          </w:p>
        </w:tc>
      </w:tr>
    </w:tbl>
    <w:p>
      <w:pPr>
        <w:pStyle w:val="Heading1"/>
        <w:keepNext/>
      </w:pPr>
      <w:r>
        <w:t xml:space="preserve">Проверка перед подачей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ФИО и даты в документах совпадают с заявлением и паспортными данными.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Все показатели подтверждены документами, копии читаемы.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Ни один документ не содержит лишних персональных данных учеников.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Ссылки на сайт и публикации открываются.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Файлы названы понятно: «1-Образование», «2-Результаты» и так далее.</w:t>
      </w:r>
    </w:p>
    <w:p>
      <w:pPr>
        <w:pStyle w:val="ListParagraph"/>
        <w:keepLines/>
        <w:numPr>
          <w:ilvl w:val="0"/>
          <w:numId w:val="2"/>
        </w:numPr>
        <w:spacing w:after="70" w:line="264"/>
      </w:pPr>
      <w:r>
        <w:t xml:space="preserve">Срок подачи заявления и график работы комиссии уточнены на сайте аттестующего органа.</w:t>
      </w:r>
    </w:p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28C00" w:sz="24"/>
              <w:bottom w:val="none" w:color="FFFFFF" w:sz="0"/>
              <w:right w:val="none" w:color="FFFFFF" w:sz="0"/>
            </w:tcBorders>
            <w:shd w:fill="FFF4E5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F28C00"/>
                <w:sz w:val="21"/>
                <w:szCs w:val="21"/>
              </w:rPr>
              <w:t xml:space="preserve">Важно</w:t>
            </w:r>
          </w:p>
          <w:p>
            <w:pPr>
              <w:spacing w:after="50" w:line="264"/>
            </w:pPr>
            <w:r>
              <w:rPr>
                <w:sz w:val="22"/>
                <w:szCs w:val="22"/>
              </w:rPr>
              <w:t xml:space="preserve">Критерии для первой и высшей категории различаются: для высшей комиссия ждёт устойчивых результатов, достижений обучающихся, вклада в повышение качества образования и распространения собственного опыта. Актуальные критерии и формы берите из регионального порядка.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pBdr>
        <w:top w:val="single" w:color="C9D2DC" w:sz="4" w:space="6"/>
      </w:pBdr>
      <w:tabs>
        <w:tab w:val="right" w:pos="9638"/>
      </w:tabs>
    </w:pPr>
    <w:r>
      <w:rPr>
        <w:rFonts w:ascii="Arial" w:cs="Arial" w:eastAsia="Arial" w:hAnsi="Arial"/>
        <w:color w:val="5F6B76"/>
        <w:sz w:val="15"/>
        <w:szCs w:val="15"/>
      </w:rPr>
      <w:t xml:space="preserve">Сайт преподавателя ОБЗР · demin-obzr.ru</w:t>
    </w:r>
    <w:r>
      <w:rPr>
        <w:rFonts w:ascii="Arial" w:cs="Arial" w:eastAsia="Arial" w:hAnsi="Arial"/>
        <w:color w:val="5F6B76"/>
        <w:sz w:val="15"/>
        <w:szCs w:val="15"/>
      </w:rPr>
      <w:tab/>
    </w:r>
    <w:r>
      <w:rPr>
        <w:rFonts w:ascii="Arial" w:cs="Arial" w:eastAsia="Arial" w:hAnsi="Arial"/>
        <w:color w:val="5F6B76"/>
        <w:sz w:val="15"/>
        <w:szCs w:val="15"/>
      </w:rPr>
      <w:t xml:space="preserve">Стр. </w:t>
    </w:r>
    <w:r>
      <w:rPr>
        <w:rFonts w:ascii="Arial" w:cs="Arial" w:eastAsia="Arial" w:hAnsi="Arial"/>
        <w:color w:val="5F6B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F6B76"/>
        <w:sz w:val="15"/>
        <w:szCs w:val="15"/>
      </w:rPr>
      <w:t xml:space="preserve"> из </w:t>
    </w:r>
    <w:r>
      <w:rPr>
        <w:rFonts w:ascii="Arial" w:cs="Arial" w:eastAsia="Arial" w:hAnsi="Arial"/>
        <w:color w:val="5F6B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  <w:rPr>
        <w:color w:val="003D7A"/>
      </w:rPr>
    </w:lvl>
    <w:lvl w:ilvl="1" w15:tentative="1">
      <w:start w:val="1"/>
      <w:numFmt w:val="bullet"/>
      <w:lvlText w:val="–"/>
      <w:lvlJc w:val="left"/>
      <w:pPr>
        <w:ind w:left="1134" w:hanging="283"/>
      </w:pPr>
      <w:rPr>
        <w:color w:val="003D7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  <w:rPr>
        <w:rFonts w:ascii="Arial" w:cs="Arial" w:eastAsia="Arial" w:hAnsi="Arial"/>
        <w:b/>
        <w:bCs/>
        <w:color w:val="003D7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2C3E5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6B76"/>
      <w:sz w:val="15"/>
      <w:szCs w:val="15"/>
    </w:rPr>
  </w:style>
  <w:style w:type="paragraph" w:styleId="Heading1">
    <w:name w:val="Heading 1"/>
    <w:basedOn w:val="Normal"/>
    <w:next w:val="Normal"/>
    <w:qFormat/>
    <w:pPr>
      <w:pBdr>
        <w:bottom w:val="single" w:color="C9D2DC" w:sz="6" w:space="3"/>
      </w:pBdr>
      <w:spacing w:after="140" w:before="360"/>
      <w:outlineLvl w:val="0"/>
    </w:pPr>
    <w:rPr>
      <w:rFonts w:ascii="Arial" w:cs="Arial" w:eastAsia="Arial" w:hAnsi="Arial"/>
      <w:b/>
      <w:bCs/>
      <w:color w:val="003D7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90" w:before="240"/>
      <w:outlineLvl w:val="1"/>
    </w:pPr>
    <w:rPr>
      <w:rFonts w:ascii="Arial" w:cs="Arial" w:eastAsia="Arial" w:hAnsi="Arial"/>
      <w:b/>
      <w:bCs/>
      <w:color w:val="003D7A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B57B7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Портфолио учителя ОБЗР: чек-лист для аттестации</dc:title>
  <dc:creator>Дёмин А. Ю.</dc:creator>
  <dc:description>Чек-лист подготовки портфолио учителя ОБЗР к аттестации на первую и высшую квалификационные категории</dc:description>
  <cp:lastModifiedBy>Un-named</cp:lastModifiedBy>
  <cp:revision>1</cp:revision>
  <dcterms:created xsi:type="dcterms:W3CDTF">2026-10-07T19:05:04.948Z</dcterms:created>
  <dcterms:modified xsi:type="dcterms:W3CDTF">2026-10-07T19:05:04.948Z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